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45F" w14:textId="77777777" w:rsidR="00610859" w:rsidRDefault="00610859" w:rsidP="00623C23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48791C54" w14:textId="739B3FA4" w:rsidR="007A6A98" w:rsidRPr="006F6549" w:rsidRDefault="0024567F" w:rsidP="00623C23">
      <w:pPr>
        <w:jc w:val="both"/>
        <w:rPr>
          <w:rFonts w:asciiTheme="minorHAnsi" w:hAnsiTheme="minorHAnsi" w:cstheme="minorHAnsi"/>
          <w:b/>
          <w:lang w:val="es-ES_tradnl"/>
        </w:rPr>
      </w:pPr>
      <w:r w:rsidRPr="00246C67">
        <w:rPr>
          <w:rFonts w:asciiTheme="minorHAnsi" w:hAnsiTheme="minorHAnsi" w:cstheme="minorHAnsi"/>
          <w:b/>
          <w:lang w:val="es-ES_tradnl"/>
        </w:rPr>
        <w:t xml:space="preserve">NOTA DE PRENSA, </w:t>
      </w:r>
      <w:r w:rsidR="004017E2">
        <w:rPr>
          <w:rFonts w:asciiTheme="minorHAnsi" w:hAnsiTheme="minorHAnsi" w:cstheme="minorHAnsi"/>
          <w:b/>
          <w:lang w:val="es-ES_tradnl"/>
        </w:rPr>
        <w:t>3</w:t>
      </w:r>
      <w:r w:rsidR="009C13DE" w:rsidRPr="00246C67">
        <w:rPr>
          <w:rFonts w:asciiTheme="minorHAnsi" w:hAnsiTheme="minorHAnsi" w:cstheme="minorHAnsi"/>
          <w:b/>
          <w:lang w:val="es-ES_tradnl"/>
        </w:rPr>
        <w:t>/</w:t>
      </w:r>
      <w:r w:rsidR="00610859">
        <w:rPr>
          <w:rFonts w:asciiTheme="minorHAnsi" w:hAnsiTheme="minorHAnsi" w:cstheme="minorHAnsi"/>
          <w:b/>
          <w:lang w:val="es-ES_tradnl"/>
        </w:rPr>
        <w:t>2</w:t>
      </w:r>
      <w:r w:rsidR="007A6A98" w:rsidRPr="00246C67">
        <w:rPr>
          <w:rFonts w:asciiTheme="minorHAnsi" w:hAnsiTheme="minorHAnsi" w:cstheme="minorHAnsi"/>
          <w:b/>
          <w:lang w:val="es-ES_tradnl"/>
        </w:rPr>
        <w:t>/20</w:t>
      </w:r>
      <w:r w:rsidR="00D33D7D" w:rsidRPr="00246C67">
        <w:rPr>
          <w:rFonts w:asciiTheme="minorHAnsi" w:hAnsiTheme="minorHAnsi" w:cstheme="minorHAnsi"/>
          <w:b/>
          <w:lang w:val="es-ES_tradnl"/>
        </w:rPr>
        <w:t>2</w:t>
      </w:r>
      <w:r w:rsidR="00610859">
        <w:rPr>
          <w:rFonts w:asciiTheme="minorHAnsi" w:hAnsiTheme="minorHAnsi" w:cstheme="minorHAnsi"/>
          <w:b/>
          <w:lang w:val="es-ES_tradnl"/>
        </w:rPr>
        <w:t>6</w:t>
      </w:r>
    </w:p>
    <w:p w14:paraId="5486D817" w14:textId="43BEE574" w:rsidR="00610859" w:rsidRPr="00610859" w:rsidRDefault="00610859" w:rsidP="00610859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  <w:r w:rsidRPr="00610859">
        <w:rPr>
          <w:rFonts w:asciiTheme="minorHAnsi" w:hAnsiTheme="minorHAnsi" w:cstheme="minorHAnsi"/>
          <w:b/>
          <w:bCs/>
          <w:sz w:val="36"/>
          <w:szCs w:val="36"/>
        </w:rPr>
        <w:t>APIP, con apoyo de FEPEVAL, inicia el proceso para crear la EGM de Paiporta y reforzar la recuperación de sus áreas industriales</w:t>
      </w:r>
    </w:p>
    <w:p w14:paraId="62C91266" w14:textId="2208862C" w:rsidR="00610859" w:rsidRPr="00610859" w:rsidRDefault="00610859" w:rsidP="00480925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610859">
        <w:rPr>
          <w:rFonts w:ascii="Calibri" w:hAnsi="Calibri" w:cs="Calibri"/>
          <w:b/>
          <w:bCs/>
        </w:rPr>
        <w:t>El acuerdo alcanzado en Asamblea Extraordinaria por parte de los miembros de la Asociación de Polígonos Industriales de Paiporta, activa el procedimiento legal para la creación de la Entidad de Gestión y Modernización</w:t>
      </w:r>
    </w:p>
    <w:p w14:paraId="5444F92A" w14:textId="60ACDDE2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 xml:space="preserve">La Asociación de Polígonos Industriales de Paiporta (APIP) ha dado esta semana un paso decisivo hacia la creación de una Entidad de Gestión y Modernización (EGM) con la constitución formal de la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Comisión Promotora de la EGM de Paiporta</w:t>
      </w:r>
      <w:r w:rsidRPr="000506DE">
        <w:rPr>
          <w:rFonts w:asciiTheme="minorHAnsi" w:hAnsiTheme="minorHAnsi" w:cstheme="minorHAnsi"/>
          <w:sz w:val="21"/>
          <w:szCs w:val="21"/>
        </w:rPr>
        <w:t xml:space="preserve">, de conformidad con la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Ley 14/2018 de Gestión, Modernización y Promoción de las Áreas Industriales de la </w:t>
      </w:r>
      <w:proofErr w:type="spellStart"/>
      <w:r w:rsidRPr="000506DE">
        <w:rPr>
          <w:rFonts w:asciiTheme="minorHAnsi" w:hAnsiTheme="minorHAnsi" w:cstheme="minorHAnsi"/>
          <w:b/>
          <w:bCs/>
          <w:sz w:val="21"/>
          <w:szCs w:val="21"/>
        </w:rPr>
        <w:t>Comunitat</w:t>
      </w:r>
      <w:proofErr w:type="spellEnd"/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 Valenciana</w:t>
      </w:r>
      <w:r w:rsidRPr="000506DE">
        <w:rPr>
          <w:rFonts w:asciiTheme="minorHAnsi" w:hAnsiTheme="minorHAnsi" w:cstheme="minorHAnsi"/>
          <w:sz w:val="21"/>
          <w:szCs w:val="21"/>
        </w:rPr>
        <w:t>.</w:t>
      </w:r>
    </w:p>
    <w:p w14:paraId="7517A243" w14:textId="17BB8624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 xml:space="preserve">La decisión fue aprobada en el transcurso de una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Asamblea General Extraordinaria</w:t>
      </w:r>
      <w:r w:rsidRPr="000506DE">
        <w:rPr>
          <w:rFonts w:asciiTheme="minorHAnsi" w:hAnsiTheme="minorHAnsi" w:cstheme="minorHAnsi"/>
          <w:sz w:val="21"/>
          <w:szCs w:val="21"/>
        </w:rPr>
        <w:t xml:space="preserve">, celebrada en el Ayuntamiento de </w:t>
      </w:r>
      <w:r w:rsidR="00610859" w:rsidRPr="000506DE">
        <w:rPr>
          <w:rFonts w:asciiTheme="minorHAnsi" w:hAnsiTheme="minorHAnsi" w:cstheme="minorHAnsi"/>
          <w:sz w:val="21"/>
          <w:szCs w:val="21"/>
        </w:rPr>
        <w:t>Paiporta</w:t>
      </w:r>
      <w:r w:rsidRPr="000506DE">
        <w:rPr>
          <w:rFonts w:asciiTheme="minorHAnsi" w:hAnsiTheme="minorHAnsi" w:cstheme="minorHAnsi"/>
          <w:sz w:val="21"/>
          <w:szCs w:val="21"/>
        </w:rPr>
        <w:t xml:space="preserve">, en la que los socios de APIP respaldaron que la asociación —entidad sin ánimo de lucro que representa a las empresas de los polígonos industriales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La </w:t>
      </w:r>
      <w:proofErr w:type="spellStart"/>
      <w:r w:rsidRPr="000506DE">
        <w:rPr>
          <w:rFonts w:asciiTheme="minorHAnsi" w:hAnsiTheme="minorHAnsi" w:cstheme="minorHAnsi"/>
          <w:b/>
          <w:bCs/>
          <w:sz w:val="21"/>
          <w:szCs w:val="21"/>
        </w:rPr>
        <w:t>Pascualeta</w:t>
      </w:r>
      <w:proofErr w:type="spellEnd"/>
      <w:r w:rsidRPr="000506DE">
        <w:rPr>
          <w:rFonts w:asciiTheme="minorHAnsi" w:hAnsiTheme="minorHAnsi" w:cstheme="minorHAnsi"/>
          <w:b/>
          <w:bCs/>
          <w:sz w:val="21"/>
          <w:szCs w:val="21"/>
        </w:rPr>
        <w:t>, La Mina y La Estación</w:t>
      </w:r>
      <w:r w:rsidRPr="000506DE">
        <w:rPr>
          <w:rFonts w:asciiTheme="minorHAnsi" w:hAnsiTheme="minorHAnsi" w:cstheme="minorHAnsi"/>
          <w:sz w:val="21"/>
          <w:szCs w:val="21"/>
        </w:rPr>
        <w:t>— asuma el papel de comisión promotora, requisito imprescindible para iniciar el proceso de creación de una EGM.</w:t>
      </w:r>
    </w:p>
    <w:p w14:paraId="26B8D4A9" w14:textId="41756D2B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>APIP</w:t>
      </w:r>
      <w:r w:rsidR="00610859" w:rsidRPr="000506DE">
        <w:rPr>
          <w:rFonts w:asciiTheme="minorHAnsi" w:hAnsiTheme="minorHAnsi" w:cstheme="minorHAnsi"/>
          <w:sz w:val="21"/>
          <w:szCs w:val="21"/>
        </w:rPr>
        <w:t>, que</w:t>
      </w:r>
      <w:r w:rsidRPr="000506DE">
        <w:rPr>
          <w:rFonts w:asciiTheme="minorHAnsi" w:hAnsiTheme="minorHAnsi" w:cstheme="minorHAnsi"/>
          <w:sz w:val="21"/>
          <w:szCs w:val="21"/>
        </w:rPr>
        <w:t xml:space="preserve"> tiene como misión principal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impulsar el crecimiento, el desarrollo y la competitividad de las empresas </w:t>
      </w:r>
      <w:r w:rsidR="00610859"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de las áreas empresariales de </w:t>
      </w:r>
      <w:r w:rsidR="00464C9C">
        <w:rPr>
          <w:rFonts w:asciiTheme="minorHAnsi" w:hAnsiTheme="minorHAnsi" w:cstheme="minorHAnsi"/>
          <w:b/>
          <w:bCs/>
          <w:sz w:val="21"/>
          <w:szCs w:val="21"/>
        </w:rPr>
        <w:t>Paiporta</w:t>
      </w:r>
      <w:r w:rsidR="00610859" w:rsidRPr="000506DE">
        <w:rPr>
          <w:rFonts w:asciiTheme="minorHAnsi" w:hAnsiTheme="minorHAnsi" w:cstheme="minorHAnsi"/>
          <w:sz w:val="21"/>
          <w:szCs w:val="21"/>
        </w:rPr>
        <w:t xml:space="preserve"> y </w:t>
      </w:r>
      <w:r w:rsidRPr="000506DE">
        <w:rPr>
          <w:rFonts w:asciiTheme="minorHAnsi" w:hAnsiTheme="minorHAnsi" w:cstheme="minorHAnsi"/>
          <w:sz w:val="21"/>
          <w:szCs w:val="21"/>
        </w:rPr>
        <w:t xml:space="preserve">mejorar la calidad </w:t>
      </w:r>
      <w:r w:rsidR="00464C9C">
        <w:rPr>
          <w:rFonts w:asciiTheme="minorHAnsi" w:hAnsiTheme="minorHAnsi" w:cstheme="minorHAnsi"/>
          <w:sz w:val="21"/>
          <w:szCs w:val="21"/>
        </w:rPr>
        <w:t>de los servicios y las dotaciones</w:t>
      </w:r>
      <w:r w:rsidR="00610859" w:rsidRPr="000506DE">
        <w:rPr>
          <w:rFonts w:asciiTheme="minorHAnsi" w:hAnsiTheme="minorHAnsi" w:cstheme="minorHAnsi"/>
          <w:sz w:val="21"/>
          <w:szCs w:val="21"/>
        </w:rPr>
        <w:t>,</w:t>
      </w:r>
      <w:r w:rsidRPr="000506DE">
        <w:rPr>
          <w:rFonts w:asciiTheme="minorHAnsi" w:hAnsiTheme="minorHAnsi" w:cstheme="minorHAnsi"/>
          <w:sz w:val="21"/>
          <w:szCs w:val="21"/>
        </w:rPr>
        <w:t xml:space="preserve"> </w:t>
      </w:r>
      <w:r w:rsidR="00610859" w:rsidRPr="000506DE">
        <w:rPr>
          <w:rFonts w:asciiTheme="minorHAnsi" w:hAnsiTheme="minorHAnsi" w:cstheme="minorHAnsi"/>
          <w:sz w:val="21"/>
          <w:szCs w:val="21"/>
        </w:rPr>
        <w:t>entiende que la creación de la EGM constituye un paso importante para avanzar en sus objetivos.</w:t>
      </w:r>
    </w:p>
    <w:p w14:paraId="1BC315AA" w14:textId="5FA56109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 xml:space="preserve">La asamblea contó con la participación de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María Vicente</w:t>
      </w:r>
      <w:r w:rsidRPr="000506DE">
        <w:rPr>
          <w:rFonts w:asciiTheme="minorHAnsi" w:hAnsiTheme="minorHAnsi" w:cstheme="minorHAnsi"/>
          <w:sz w:val="21"/>
          <w:szCs w:val="21"/>
        </w:rPr>
        <w:t xml:space="preserve">, gerente de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FEPEVAL (Federación de Parques Empresariales de la </w:t>
      </w:r>
      <w:proofErr w:type="spellStart"/>
      <w:r w:rsidRPr="000506DE">
        <w:rPr>
          <w:rFonts w:asciiTheme="minorHAnsi" w:hAnsiTheme="minorHAnsi" w:cstheme="minorHAnsi"/>
          <w:b/>
          <w:bCs/>
          <w:sz w:val="21"/>
          <w:szCs w:val="21"/>
        </w:rPr>
        <w:t>Comunitat</w:t>
      </w:r>
      <w:proofErr w:type="spellEnd"/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 Valenciana)</w:t>
      </w:r>
      <w:r w:rsidRPr="000506DE">
        <w:rPr>
          <w:rFonts w:asciiTheme="minorHAnsi" w:hAnsiTheme="minorHAnsi" w:cstheme="minorHAnsi"/>
          <w:sz w:val="21"/>
          <w:szCs w:val="21"/>
        </w:rPr>
        <w:t>, entidad de referencia en el impulso de las EGM. Durante su intervención, puso en valor la importancia de esta normativa, pionera en España, para avanzar hacia una gestión más eficiente y profesionalizada de los parques empresariales.</w:t>
      </w:r>
    </w:p>
    <w:p w14:paraId="2622CC10" w14:textId="1EE1624F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 xml:space="preserve">La Ley de Áreas Industriales promueve un modelo basado en la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colaboración público-privada</w:t>
      </w:r>
      <w:r w:rsidRPr="000506DE">
        <w:rPr>
          <w:rFonts w:asciiTheme="minorHAnsi" w:hAnsiTheme="minorHAnsi" w:cstheme="minorHAnsi"/>
          <w:sz w:val="21"/>
          <w:szCs w:val="21"/>
        </w:rPr>
        <w:t xml:space="preserve"> entre ayuntamientos y propietarios de naves industriales, fomentando la atracción de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inversiones</w:t>
      </w:r>
      <w:r w:rsidRPr="000506DE">
        <w:rPr>
          <w:rFonts w:asciiTheme="minorHAnsi" w:hAnsiTheme="minorHAnsi" w:cstheme="minorHAnsi"/>
          <w:sz w:val="21"/>
          <w:szCs w:val="21"/>
        </w:rPr>
        <w:t>,</w:t>
      </w:r>
      <w:r w:rsidR="000506DE" w:rsidRPr="000506DE">
        <w:rPr>
          <w:rFonts w:asciiTheme="minorHAnsi" w:hAnsiTheme="minorHAnsi" w:cstheme="minorHAnsi"/>
          <w:sz w:val="21"/>
          <w:szCs w:val="21"/>
        </w:rPr>
        <w:t xml:space="preserve"> permite optar a </w:t>
      </w:r>
      <w:r w:rsidR="000506DE" w:rsidRPr="000506DE">
        <w:rPr>
          <w:rFonts w:asciiTheme="minorHAnsi" w:hAnsiTheme="minorHAnsi" w:cstheme="minorHAnsi"/>
          <w:b/>
          <w:bCs/>
          <w:sz w:val="21"/>
          <w:szCs w:val="21"/>
        </w:rPr>
        <w:t>subvenciones</w:t>
      </w:r>
      <w:r w:rsidR="000506DE" w:rsidRPr="000506DE">
        <w:rPr>
          <w:rFonts w:asciiTheme="minorHAnsi" w:hAnsiTheme="minorHAnsi" w:cstheme="minorHAnsi"/>
          <w:sz w:val="21"/>
          <w:szCs w:val="21"/>
        </w:rPr>
        <w:t xml:space="preserve"> particulares de la Generalitat Valenciana. Todo ello con el objetivo de favorecer</w:t>
      </w:r>
      <w:r w:rsidRPr="000506DE">
        <w:rPr>
          <w:rFonts w:asciiTheme="minorHAnsi" w:hAnsiTheme="minorHAnsi" w:cstheme="minorHAnsi"/>
          <w:sz w:val="21"/>
          <w:szCs w:val="21"/>
        </w:rPr>
        <w:t xml:space="preserve"> la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modernización de infraestructuras</w:t>
      </w:r>
      <w:r w:rsidRPr="000506DE">
        <w:rPr>
          <w:rFonts w:asciiTheme="minorHAnsi" w:hAnsiTheme="minorHAnsi" w:cstheme="minorHAnsi"/>
          <w:sz w:val="21"/>
          <w:szCs w:val="21"/>
        </w:rPr>
        <w:t xml:space="preserve"> y la implantación de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servicios de valor añadido</w:t>
      </w:r>
      <w:r w:rsidRPr="000506DE">
        <w:rPr>
          <w:rFonts w:asciiTheme="minorHAnsi" w:hAnsiTheme="minorHAnsi" w:cstheme="minorHAnsi"/>
          <w:sz w:val="21"/>
          <w:szCs w:val="21"/>
        </w:rPr>
        <w:t xml:space="preserve">. </w:t>
      </w:r>
      <w:r w:rsidR="000506DE" w:rsidRPr="000506DE">
        <w:rPr>
          <w:rFonts w:asciiTheme="minorHAnsi" w:hAnsiTheme="minorHAnsi" w:cstheme="minorHAnsi"/>
          <w:sz w:val="21"/>
          <w:szCs w:val="21"/>
        </w:rPr>
        <w:t>En definitiva, u</w:t>
      </w:r>
      <w:r w:rsidR="00610859" w:rsidRPr="000506DE">
        <w:rPr>
          <w:rFonts w:asciiTheme="minorHAnsi" w:hAnsiTheme="minorHAnsi" w:cstheme="minorHAnsi"/>
          <w:sz w:val="21"/>
          <w:szCs w:val="21"/>
        </w:rPr>
        <w:t>na</w:t>
      </w:r>
      <w:r w:rsidRPr="000506DE">
        <w:rPr>
          <w:rFonts w:asciiTheme="minorHAnsi" w:hAnsiTheme="minorHAnsi" w:cstheme="minorHAnsi"/>
          <w:sz w:val="21"/>
          <w:szCs w:val="21"/>
        </w:rPr>
        <w:t xml:space="preserve">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EGM</w:t>
      </w:r>
      <w:r w:rsidRPr="000506DE">
        <w:rPr>
          <w:rFonts w:asciiTheme="minorHAnsi" w:hAnsiTheme="minorHAnsi" w:cstheme="minorHAnsi"/>
          <w:sz w:val="21"/>
          <w:szCs w:val="21"/>
        </w:rPr>
        <w:t xml:space="preserve"> </w:t>
      </w:r>
      <w:r w:rsidR="00610859" w:rsidRPr="000506DE">
        <w:rPr>
          <w:rFonts w:asciiTheme="minorHAnsi" w:hAnsiTheme="minorHAnsi" w:cstheme="minorHAnsi"/>
          <w:sz w:val="21"/>
          <w:szCs w:val="21"/>
        </w:rPr>
        <w:t xml:space="preserve">tiene como misión trabajar para </w:t>
      </w:r>
      <w:r w:rsidRPr="000506DE">
        <w:rPr>
          <w:rFonts w:asciiTheme="minorHAnsi" w:hAnsiTheme="minorHAnsi" w:cstheme="minorHAnsi"/>
          <w:sz w:val="21"/>
          <w:szCs w:val="21"/>
        </w:rPr>
        <w:t>dotar a las áreas industriales de mayores niveles de competitividad, convertirlas en polos de atracción para nuevas empresas y generar riqueza y empleo de forma sostenida.</w:t>
      </w:r>
    </w:p>
    <w:p w14:paraId="1FFB4939" w14:textId="118661B6" w:rsidR="00480925" w:rsidRPr="000506DE" w:rsidRDefault="00480925" w:rsidP="00480925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0506DE">
        <w:rPr>
          <w:rFonts w:asciiTheme="minorHAnsi" w:hAnsiTheme="minorHAnsi" w:cstheme="minorHAnsi"/>
          <w:sz w:val="21"/>
          <w:szCs w:val="21"/>
        </w:rPr>
        <w:t>Con el apoyo y asesoramiento de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 FEPEVAL</w:t>
      </w:r>
      <w:r w:rsidRPr="000506DE">
        <w:rPr>
          <w:rFonts w:asciiTheme="minorHAnsi" w:hAnsiTheme="minorHAnsi" w:cstheme="minorHAnsi"/>
          <w:sz w:val="21"/>
          <w:szCs w:val="21"/>
        </w:rPr>
        <w:t xml:space="preserve"> y la colaboración del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Ayuntamiento</w:t>
      </w:r>
      <w:r w:rsidR="00610859" w:rsidRPr="000506DE">
        <w:rPr>
          <w:rFonts w:asciiTheme="minorHAnsi" w:hAnsiTheme="minorHAnsi" w:cstheme="minorHAnsi"/>
          <w:b/>
          <w:bCs/>
          <w:sz w:val="21"/>
          <w:szCs w:val="21"/>
        </w:rPr>
        <w:t xml:space="preserve"> de Paiporta</w:t>
      </w:r>
      <w:r w:rsidRPr="000506DE">
        <w:rPr>
          <w:rFonts w:asciiTheme="minorHAnsi" w:hAnsiTheme="minorHAnsi" w:cstheme="minorHAnsi"/>
          <w:sz w:val="21"/>
          <w:szCs w:val="21"/>
        </w:rPr>
        <w:t xml:space="preserve">, </w:t>
      </w:r>
      <w:r w:rsidRPr="000506DE">
        <w:rPr>
          <w:rFonts w:asciiTheme="minorHAnsi" w:hAnsiTheme="minorHAnsi" w:cstheme="minorHAnsi"/>
          <w:b/>
          <w:bCs/>
          <w:sz w:val="21"/>
          <w:szCs w:val="21"/>
        </w:rPr>
        <w:t>APIP</w:t>
      </w:r>
      <w:r w:rsidRPr="000506DE">
        <w:rPr>
          <w:rFonts w:asciiTheme="minorHAnsi" w:hAnsiTheme="minorHAnsi" w:cstheme="minorHAnsi"/>
          <w:sz w:val="21"/>
          <w:szCs w:val="21"/>
        </w:rPr>
        <w:t xml:space="preserve"> </w:t>
      </w:r>
      <w:r w:rsidR="00610859" w:rsidRPr="000506DE">
        <w:rPr>
          <w:rFonts w:asciiTheme="minorHAnsi" w:hAnsiTheme="minorHAnsi" w:cstheme="minorHAnsi"/>
          <w:sz w:val="21"/>
          <w:szCs w:val="21"/>
        </w:rPr>
        <w:t>tiene ante sí el reto de</w:t>
      </w:r>
      <w:r w:rsidRPr="000506DE">
        <w:rPr>
          <w:rFonts w:asciiTheme="minorHAnsi" w:hAnsiTheme="minorHAnsi" w:cstheme="minorHAnsi"/>
          <w:sz w:val="21"/>
          <w:szCs w:val="21"/>
        </w:rPr>
        <w:t xml:space="preserve"> impuls</w:t>
      </w:r>
      <w:r w:rsidR="00610859" w:rsidRPr="000506DE">
        <w:rPr>
          <w:rFonts w:asciiTheme="minorHAnsi" w:hAnsiTheme="minorHAnsi" w:cstheme="minorHAnsi"/>
          <w:sz w:val="21"/>
          <w:szCs w:val="21"/>
        </w:rPr>
        <w:t>ar</w:t>
      </w:r>
      <w:r w:rsidRPr="000506DE">
        <w:rPr>
          <w:rFonts w:asciiTheme="minorHAnsi" w:hAnsiTheme="minorHAnsi" w:cstheme="minorHAnsi"/>
          <w:sz w:val="21"/>
          <w:szCs w:val="21"/>
        </w:rPr>
        <w:t xml:space="preserve"> el desarrollo de </w:t>
      </w:r>
      <w:r w:rsidR="00610859" w:rsidRPr="000506DE">
        <w:rPr>
          <w:rFonts w:asciiTheme="minorHAnsi" w:hAnsiTheme="minorHAnsi" w:cstheme="minorHAnsi"/>
          <w:sz w:val="21"/>
          <w:szCs w:val="21"/>
        </w:rPr>
        <w:t>sus</w:t>
      </w:r>
      <w:r w:rsidRPr="000506DE">
        <w:rPr>
          <w:rFonts w:asciiTheme="minorHAnsi" w:hAnsiTheme="minorHAnsi" w:cstheme="minorHAnsi"/>
          <w:sz w:val="21"/>
          <w:szCs w:val="21"/>
        </w:rPr>
        <w:t xml:space="preserve"> parques empresariales,</w:t>
      </w:r>
      <w:r w:rsidR="00610859" w:rsidRPr="000506DE">
        <w:rPr>
          <w:rFonts w:asciiTheme="minorHAnsi" w:hAnsiTheme="minorHAnsi" w:cstheme="minorHAnsi"/>
          <w:sz w:val="21"/>
          <w:szCs w:val="21"/>
        </w:rPr>
        <w:t xml:space="preserve"> </w:t>
      </w:r>
      <w:r w:rsidR="00145A19">
        <w:rPr>
          <w:rFonts w:asciiTheme="minorHAnsi" w:hAnsiTheme="minorHAnsi" w:cstheme="minorHAnsi"/>
          <w:sz w:val="21"/>
          <w:szCs w:val="21"/>
        </w:rPr>
        <w:t>con</w:t>
      </w:r>
      <w:r w:rsidRPr="000506DE">
        <w:rPr>
          <w:rFonts w:asciiTheme="minorHAnsi" w:hAnsiTheme="minorHAnsi" w:cstheme="minorHAnsi"/>
          <w:sz w:val="21"/>
          <w:szCs w:val="21"/>
        </w:rPr>
        <w:t xml:space="preserve"> herramientas eficaces para su modernización y fortalecimiento económico.</w:t>
      </w:r>
    </w:p>
    <w:p w14:paraId="2A1124A1" w14:textId="63211893" w:rsidR="007A6A98" w:rsidRPr="00A36728" w:rsidRDefault="00060D17" w:rsidP="00360AC7">
      <w:pPr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A36728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Pie de foto:  </w:t>
      </w:r>
      <w:r w:rsidR="00421FCE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Imagen de la reunión mantenida </w:t>
      </w:r>
      <w:r w:rsidR="00610859">
        <w:rPr>
          <w:rFonts w:asciiTheme="minorHAnsi" w:hAnsiTheme="minorHAnsi" w:cstheme="minorHAnsi"/>
          <w:b/>
          <w:sz w:val="20"/>
          <w:szCs w:val="20"/>
          <w:lang w:val="es-ES_tradnl"/>
        </w:rPr>
        <w:t>en el Ayuntamiento de Paiporta</w:t>
      </w:r>
    </w:p>
    <w:sectPr w:rsidR="007A6A98" w:rsidRPr="00A36728" w:rsidSect="00D45379">
      <w:headerReference w:type="default" r:id="rId6"/>
      <w:pgSz w:w="11900" w:h="16840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9B32" w14:textId="77777777" w:rsidR="00A576DE" w:rsidRDefault="00A576DE" w:rsidP="00D45379">
      <w:r>
        <w:separator/>
      </w:r>
    </w:p>
  </w:endnote>
  <w:endnote w:type="continuationSeparator" w:id="0">
    <w:p w14:paraId="2F800238" w14:textId="77777777" w:rsidR="00A576DE" w:rsidRDefault="00A576DE" w:rsidP="00D4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C170" w14:textId="77777777" w:rsidR="00A576DE" w:rsidRDefault="00A576DE" w:rsidP="00D45379">
      <w:r>
        <w:separator/>
      </w:r>
    </w:p>
  </w:footnote>
  <w:footnote w:type="continuationSeparator" w:id="0">
    <w:p w14:paraId="48A44F6A" w14:textId="77777777" w:rsidR="00A576DE" w:rsidRDefault="00A576DE" w:rsidP="00D4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DE65" w14:textId="48729D7F" w:rsidR="007A6A98" w:rsidRDefault="007A6A98">
    <w:pPr>
      <w:pStyle w:val="Encabezado"/>
    </w:pPr>
    <w:r>
      <w:tab/>
    </w:r>
    <w:r>
      <w:tab/>
    </w:r>
  </w:p>
  <w:p w14:paraId="33009771" w14:textId="31AB8A80" w:rsidR="007A6A98" w:rsidRDefault="00610859" w:rsidP="00610859">
    <w:pPr>
      <w:pStyle w:val="Encabezado"/>
      <w:jc w:val="center"/>
    </w:pPr>
    <w:r>
      <w:rPr>
        <w:noProof/>
      </w:rPr>
      <w:drawing>
        <wp:inline distT="0" distB="0" distL="0" distR="0" wp14:anchorId="69001782" wp14:editId="47B624B8">
          <wp:extent cx="2370996" cy="766236"/>
          <wp:effectExtent l="0" t="0" r="4445" b="0"/>
          <wp:docPr id="14026986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9863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8009" cy="81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4"/>
    <w:rsid w:val="0002000A"/>
    <w:rsid w:val="000379E6"/>
    <w:rsid w:val="00043B2E"/>
    <w:rsid w:val="000506DE"/>
    <w:rsid w:val="000560E9"/>
    <w:rsid w:val="00056348"/>
    <w:rsid w:val="000575CF"/>
    <w:rsid w:val="00060D17"/>
    <w:rsid w:val="00083AD6"/>
    <w:rsid w:val="000A3375"/>
    <w:rsid w:val="000B69D6"/>
    <w:rsid w:val="000E61CB"/>
    <w:rsid w:val="00144A2A"/>
    <w:rsid w:val="00145A19"/>
    <w:rsid w:val="00147E93"/>
    <w:rsid w:val="00172DA3"/>
    <w:rsid w:val="00175FEA"/>
    <w:rsid w:val="0018085C"/>
    <w:rsid w:val="00184EBF"/>
    <w:rsid w:val="001B05F6"/>
    <w:rsid w:val="001C167F"/>
    <w:rsid w:val="001D19E3"/>
    <w:rsid w:val="001E170E"/>
    <w:rsid w:val="001E3129"/>
    <w:rsid w:val="001F0F9E"/>
    <w:rsid w:val="001F3665"/>
    <w:rsid w:val="002014D9"/>
    <w:rsid w:val="00216348"/>
    <w:rsid w:val="00243CA9"/>
    <w:rsid w:val="0024567F"/>
    <w:rsid w:val="00246C67"/>
    <w:rsid w:val="00255D74"/>
    <w:rsid w:val="00274201"/>
    <w:rsid w:val="002A1858"/>
    <w:rsid w:val="002B629F"/>
    <w:rsid w:val="002D4BC4"/>
    <w:rsid w:val="00306397"/>
    <w:rsid w:val="00313354"/>
    <w:rsid w:val="00337ACC"/>
    <w:rsid w:val="00342A95"/>
    <w:rsid w:val="0034489B"/>
    <w:rsid w:val="00360AC7"/>
    <w:rsid w:val="003801C8"/>
    <w:rsid w:val="00381C5F"/>
    <w:rsid w:val="003A4870"/>
    <w:rsid w:val="003B2B7B"/>
    <w:rsid w:val="004017E2"/>
    <w:rsid w:val="004020B0"/>
    <w:rsid w:val="00406D29"/>
    <w:rsid w:val="00407C3C"/>
    <w:rsid w:val="004165BB"/>
    <w:rsid w:val="00421FCE"/>
    <w:rsid w:val="00433360"/>
    <w:rsid w:val="00451862"/>
    <w:rsid w:val="00464C9C"/>
    <w:rsid w:val="00480925"/>
    <w:rsid w:val="004B56D8"/>
    <w:rsid w:val="004C2D79"/>
    <w:rsid w:val="00505330"/>
    <w:rsid w:val="0051673E"/>
    <w:rsid w:val="0052280F"/>
    <w:rsid w:val="005B35D5"/>
    <w:rsid w:val="005D3A2D"/>
    <w:rsid w:val="00610859"/>
    <w:rsid w:val="006155FC"/>
    <w:rsid w:val="00623C23"/>
    <w:rsid w:val="00631D67"/>
    <w:rsid w:val="00641FBF"/>
    <w:rsid w:val="006716C9"/>
    <w:rsid w:val="00672E47"/>
    <w:rsid w:val="00697FB7"/>
    <w:rsid w:val="006A1BB6"/>
    <w:rsid w:val="006B633D"/>
    <w:rsid w:val="006C4A4F"/>
    <w:rsid w:val="006F6549"/>
    <w:rsid w:val="00737C23"/>
    <w:rsid w:val="00756862"/>
    <w:rsid w:val="007A6A98"/>
    <w:rsid w:val="007C76D4"/>
    <w:rsid w:val="007D6236"/>
    <w:rsid w:val="007E41CD"/>
    <w:rsid w:val="007F4752"/>
    <w:rsid w:val="00802B59"/>
    <w:rsid w:val="00833AE4"/>
    <w:rsid w:val="00897023"/>
    <w:rsid w:val="008B4BE8"/>
    <w:rsid w:val="008C428C"/>
    <w:rsid w:val="008C4ABE"/>
    <w:rsid w:val="008D1BBD"/>
    <w:rsid w:val="00904C73"/>
    <w:rsid w:val="00910AEF"/>
    <w:rsid w:val="009113C8"/>
    <w:rsid w:val="009119B4"/>
    <w:rsid w:val="00914E37"/>
    <w:rsid w:val="00965DF3"/>
    <w:rsid w:val="00993B0F"/>
    <w:rsid w:val="0099763D"/>
    <w:rsid w:val="009977E8"/>
    <w:rsid w:val="009C13DE"/>
    <w:rsid w:val="009C14FE"/>
    <w:rsid w:val="009C3B16"/>
    <w:rsid w:val="009D21E5"/>
    <w:rsid w:val="009E2CCB"/>
    <w:rsid w:val="009F060C"/>
    <w:rsid w:val="009F26D3"/>
    <w:rsid w:val="009F51B3"/>
    <w:rsid w:val="00A23966"/>
    <w:rsid w:val="00A36728"/>
    <w:rsid w:val="00A576DE"/>
    <w:rsid w:val="00A90EAF"/>
    <w:rsid w:val="00AA313E"/>
    <w:rsid w:val="00AC0242"/>
    <w:rsid w:val="00AD4FC0"/>
    <w:rsid w:val="00B15986"/>
    <w:rsid w:val="00B614C8"/>
    <w:rsid w:val="00B91EC3"/>
    <w:rsid w:val="00BE0FE9"/>
    <w:rsid w:val="00BE7BCE"/>
    <w:rsid w:val="00C4506A"/>
    <w:rsid w:val="00C467F3"/>
    <w:rsid w:val="00C64B7A"/>
    <w:rsid w:val="00C9435F"/>
    <w:rsid w:val="00CD78AB"/>
    <w:rsid w:val="00D0530E"/>
    <w:rsid w:val="00D12EC3"/>
    <w:rsid w:val="00D33D7D"/>
    <w:rsid w:val="00D372C6"/>
    <w:rsid w:val="00D45379"/>
    <w:rsid w:val="00D540D5"/>
    <w:rsid w:val="00D854D3"/>
    <w:rsid w:val="00E17F64"/>
    <w:rsid w:val="00E43446"/>
    <w:rsid w:val="00E676ED"/>
    <w:rsid w:val="00E84056"/>
    <w:rsid w:val="00E9349D"/>
    <w:rsid w:val="00EB1B42"/>
    <w:rsid w:val="00EB514D"/>
    <w:rsid w:val="00EB563A"/>
    <w:rsid w:val="00EE64EF"/>
    <w:rsid w:val="00F02829"/>
    <w:rsid w:val="00F35B6D"/>
    <w:rsid w:val="00F400A8"/>
    <w:rsid w:val="00F61E2C"/>
    <w:rsid w:val="00F738F7"/>
    <w:rsid w:val="00F77BB8"/>
    <w:rsid w:val="00F86165"/>
    <w:rsid w:val="00F87D7B"/>
    <w:rsid w:val="00FA7205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26E1E0"/>
  <w15:docId w15:val="{BB92DD45-7237-5046-BAD3-294DE0BE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E9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2">
    <w:name w:val="heading 2"/>
    <w:basedOn w:val="Normal"/>
    <w:link w:val="Ttulo2Car"/>
    <w:uiPriority w:val="9"/>
    <w:qFormat/>
    <w:locked/>
    <w:rsid w:val="004809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45379"/>
    <w:pPr>
      <w:tabs>
        <w:tab w:val="center" w:pos="4252"/>
        <w:tab w:val="right" w:pos="8504"/>
      </w:tabs>
    </w:pPr>
    <w:rPr>
      <w:rFonts w:ascii="Calibri" w:eastAsia="Calibri" w:hAnsi="Calibr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4537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45379"/>
    <w:pPr>
      <w:tabs>
        <w:tab w:val="center" w:pos="4252"/>
        <w:tab w:val="right" w:pos="8504"/>
      </w:tabs>
    </w:pPr>
    <w:rPr>
      <w:rFonts w:ascii="Calibri" w:eastAsia="Calibri" w:hAnsi="Calibr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537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453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45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D1BB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3D7D"/>
    <w:pPr>
      <w:spacing w:before="100" w:beforeAutospacing="1" w:after="100" w:afterAutospacing="1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80925"/>
    <w:rPr>
      <w:rFonts w:ascii="Times New Roman" w:eastAsia="Times New Roman" w:hAnsi="Times New Roman"/>
      <w:b/>
      <w:bCs/>
      <w:sz w:val="36"/>
      <w:szCs w:val="36"/>
      <w:lang w:eastAsia="es-ES_tradnl"/>
    </w:rPr>
  </w:style>
  <w:style w:type="character" w:styleId="Fuerte">
    <w:name w:val="Strong"/>
    <w:basedOn w:val="Fuentedeprrafopredeter"/>
    <w:uiPriority w:val="22"/>
    <w:qFormat/>
    <w:locked/>
    <w:rsid w:val="0048092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04C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4C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4C73"/>
    <w:rPr>
      <w:rFonts w:ascii="Times New Roman" w:eastAsia="Times New Roman" w:hAnsi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4C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4C73"/>
    <w:rPr>
      <w:rFonts w:ascii="Times New Roman" w:eastAsia="Times New Roman" w:hAnsi="Times New Roman"/>
      <w:b/>
      <w:bCs/>
      <w:sz w:val="20"/>
      <w:szCs w:val="20"/>
      <w:lang w:eastAsia="es-ES_tradnl"/>
    </w:rPr>
  </w:style>
  <w:style w:type="paragraph" w:styleId="Revisin">
    <w:name w:val="Revision"/>
    <w:hidden/>
    <w:uiPriority w:val="99"/>
    <w:semiHidden/>
    <w:rsid w:val="00464C9C"/>
    <w:rPr>
      <w:rFonts w:ascii="Times New Roman" w:eastAsia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PRENSA, 14/3/2018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PRENSA, 14/3/2018</dc:title>
  <dc:subject/>
  <dc:creator>Diego Aznar Moreno</dc:creator>
  <cp:keywords/>
  <dc:description/>
  <cp:lastModifiedBy>Pau Bretó Miralles</cp:lastModifiedBy>
  <cp:revision>4</cp:revision>
  <cp:lastPrinted>2018-03-14T11:13:00Z</cp:lastPrinted>
  <dcterms:created xsi:type="dcterms:W3CDTF">2026-01-28T16:29:00Z</dcterms:created>
  <dcterms:modified xsi:type="dcterms:W3CDTF">2026-02-03T10:09:00Z</dcterms:modified>
</cp:coreProperties>
</file>